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88C6" w14:textId="4382145C" w:rsidR="00D16F9C" w:rsidRDefault="00D16F9C" w:rsidP="00AA7850">
      <w:pPr>
        <w:spacing w:line="276" w:lineRule="auto"/>
        <w:rPr>
          <w:b/>
          <w:bCs/>
          <w:color w:val="000000" w:themeColor="text1"/>
          <w:sz w:val="36"/>
          <w:szCs w:val="36"/>
          <w:lang w:val="en-GB"/>
        </w:rPr>
      </w:pPr>
      <w:r w:rsidRPr="00062E21">
        <w:rPr>
          <w:noProof/>
          <w:lang w:eastAsia="en-ZW"/>
        </w:rPr>
        <w:drawing>
          <wp:anchor distT="0" distB="0" distL="114300" distR="114300" simplePos="0" relativeHeight="251659264" behindDoc="0" locked="0" layoutInCell="1" allowOverlap="1" wp14:anchorId="7053EEFA" wp14:editId="40E5D581">
            <wp:simplePos x="0" y="0"/>
            <wp:positionH relativeFrom="margin">
              <wp:posOffset>2240280</wp:posOffset>
            </wp:positionH>
            <wp:positionV relativeFrom="paragraph">
              <wp:posOffset>403860</wp:posOffset>
            </wp:positionV>
            <wp:extent cx="1013460" cy="1135380"/>
            <wp:effectExtent l="0" t="0" r="0" b="7620"/>
            <wp:wrapSquare wrapText="bothSides"/>
            <wp:docPr id="2" name="Picture 2" descr="Securities and Exchange Commission of Zimbab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urities and Exchange Commission of Zimbabwe"/>
                    <pic:cNvPicPr>
                      <a:picLocks noChangeAspect="1" noChangeArrowheads="1"/>
                    </pic:cNvPicPr>
                  </pic:nvPicPr>
                  <pic:blipFill>
                    <a:blip r:embed="rId6" r:link="rId7"/>
                    <a:srcRect/>
                    <a:stretch>
                      <a:fillRect/>
                    </a:stretch>
                  </pic:blipFill>
                  <pic:spPr bwMode="auto">
                    <a:xfrm>
                      <a:off x="0" y="0"/>
                      <a:ext cx="1013460" cy="1135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68E3D6F" w14:textId="77777777" w:rsidR="00D16F9C" w:rsidRDefault="00D16F9C" w:rsidP="00AA7850">
      <w:pPr>
        <w:spacing w:line="276" w:lineRule="auto"/>
        <w:rPr>
          <w:b/>
          <w:bCs/>
          <w:color w:val="000000" w:themeColor="text1"/>
          <w:sz w:val="36"/>
          <w:szCs w:val="36"/>
          <w:lang w:val="en-GB"/>
        </w:rPr>
      </w:pPr>
    </w:p>
    <w:p w14:paraId="286D3CAB" w14:textId="77777777" w:rsidR="00D16F9C" w:rsidRDefault="00D16F9C" w:rsidP="00AA7850">
      <w:pPr>
        <w:spacing w:line="276" w:lineRule="auto"/>
        <w:rPr>
          <w:b/>
          <w:bCs/>
          <w:color w:val="000000" w:themeColor="text1"/>
          <w:sz w:val="36"/>
          <w:szCs w:val="36"/>
          <w:lang w:val="en-GB"/>
        </w:rPr>
      </w:pPr>
    </w:p>
    <w:p w14:paraId="1C76F6B8" w14:textId="77777777" w:rsidR="00D16F9C" w:rsidRDefault="00D16F9C" w:rsidP="00AA7850">
      <w:pPr>
        <w:spacing w:line="276" w:lineRule="auto"/>
        <w:rPr>
          <w:b/>
          <w:bCs/>
          <w:color w:val="000000" w:themeColor="text1"/>
          <w:sz w:val="36"/>
          <w:szCs w:val="36"/>
          <w:lang w:val="en-GB"/>
        </w:rPr>
      </w:pPr>
    </w:p>
    <w:p w14:paraId="4A770836" w14:textId="286CCBD3" w:rsidR="00603FB6" w:rsidRPr="0058609F" w:rsidRDefault="008C7E38" w:rsidP="0058609F">
      <w:pPr>
        <w:spacing w:line="276" w:lineRule="auto"/>
        <w:jc w:val="center"/>
        <w:rPr>
          <w:b/>
          <w:bCs/>
          <w:color w:val="000000" w:themeColor="text1"/>
          <w:sz w:val="36"/>
          <w:szCs w:val="36"/>
          <w:lang w:val="en-GB"/>
        </w:rPr>
      </w:pPr>
      <w:r>
        <w:rPr>
          <w:b/>
          <w:bCs/>
          <w:color w:val="000000" w:themeColor="text1"/>
          <w:sz w:val="36"/>
          <w:szCs w:val="36"/>
          <w:lang w:val="en-GB"/>
        </w:rPr>
        <w:t>Febr</w:t>
      </w:r>
      <w:r w:rsidR="00454EA8">
        <w:rPr>
          <w:b/>
          <w:bCs/>
          <w:color w:val="000000" w:themeColor="text1"/>
          <w:sz w:val="36"/>
          <w:szCs w:val="36"/>
          <w:lang w:val="en-GB"/>
        </w:rPr>
        <w:t>uary</w:t>
      </w:r>
      <w:r w:rsidR="003D64D2">
        <w:rPr>
          <w:b/>
          <w:bCs/>
          <w:color w:val="000000" w:themeColor="text1"/>
          <w:sz w:val="36"/>
          <w:szCs w:val="36"/>
          <w:lang w:val="en-GB"/>
        </w:rPr>
        <w:t xml:space="preserve"> </w:t>
      </w:r>
      <w:r w:rsidR="00454EA8">
        <w:rPr>
          <w:b/>
          <w:bCs/>
          <w:color w:val="000000" w:themeColor="text1"/>
          <w:sz w:val="36"/>
          <w:szCs w:val="36"/>
          <w:lang w:val="en-GB"/>
        </w:rPr>
        <w:t>2022</w:t>
      </w:r>
      <w:r w:rsidR="00FD74F1">
        <w:rPr>
          <w:b/>
          <w:bCs/>
          <w:color w:val="000000" w:themeColor="text1"/>
          <w:sz w:val="36"/>
          <w:szCs w:val="36"/>
          <w:lang w:val="en-GB"/>
        </w:rPr>
        <w:t xml:space="preserve"> </w:t>
      </w:r>
      <w:r w:rsidR="002D196D">
        <w:rPr>
          <w:b/>
          <w:bCs/>
          <w:color w:val="000000" w:themeColor="text1"/>
          <w:sz w:val="36"/>
          <w:szCs w:val="36"/>
          <w:lang w:val="en-GB"/>
        </w:rPr>
        <w:t>I</w:t>
      </w:r>
      <w:r w:rsidR="00603FB6" w:rsidRPr="002D196D">
        <w:rPr>
          <w:b/>
          <w:bCs/>
          <w:color w:val="000000" w:themeColor="text1"/>
          <w:sz w:val="36"/>
          <w:szCs w:val="36"/>
          <w:lang w:val="en-GB"/>
        </w:rPr>
        <w:t xml:space="preserve">ssue of </w:t>
      </w:r>
      <w:proofErr w:type="spellStart"/>
      <w:r w:rsidR="00603FB6" w:rsidRPr="002D196D">
        <w:rPr>
          <w:b/>
          <w:bCs/>
          <w:color w:val="000000" w:themeColor="text1"/>
          <w:sz w:val="36"/>
          <w:szCs w:val="36"/>
          <w:lang w:val="en-GB"/>
        </w:rPr>
        <w:t>GroWealth</w:t>
      </w:r>
      <w:proofErr w:type="spellEnd"/>
      <w:r w:rsidR="002D196D">
        <w:rPr>
          <w:b/>
          <w:bCs/>
          <w:color w:val="000000" w:themeColor="text1"/>
          <w:sz w:val="36"/>
          <w:szCs w:val="36"/>
          <w:lang w:val="en-GB"/>
        </w:rPr>
        <w:t xml:space="preserve"> Report</w:t>
      </w:r>
      <w:r w:rsidR="00603FB6" w:rsidRPr="002D196D">
        <w:rPr>
          <w:b/>
          <w:bCs/>
          <w:color w:val="000000" w:themeColor="text1"/>
          <w:sz w:val="36"/>
          <w:szCs w:val="36"/>
          <w:lang w:val="en-GB"/>
        </w:rPr>
        <w:t xml:space="preserve"> Published</w:t>
      </w:r>
    </w:p>
    <w:p w14:paraId="22D6456F" w14:textId="659CAE84" w:rsidR="008C7E38" w:rsidRDefault="008C7E38" w:rsidP="008C7E38">
      <w:pPr>
        <w:spacing w:line="276" w:lineRule="auto"/>
        <w:jc w:val="both"/>
        <w:rPr>
          <w:color w:val="000000" w:themeColor="text1"/>
          <w:sz w:val="24"/>
          <w:lang w:val="en-GB"/>
        </w:rPr>
      </w:pPr>
      <w:r>
        <w:rPr>
          <w:color w:val="000000" w:themeColor="text1"/>
          <w:sz w:val="24"/>
          <w:lang w:val="en-GB"/>
        </w:rPr>
        <w:t xml:space="preserve">The </w:t>
      </w:r>
      <w:r w:rsidR="00DC1BE6">
        <w:rPr>
          <w:color w:val="000000" w:themeColor="text1"/>
          <w:sz w:val="24"/>
          <w:lang w:val="en-GB"/>
        </w:rPr>
        <w:t>February</w:t>
      </w:r>
      <w:r>
        <w:rPr>
          <w:color w:val="000000" w:themeColor="text1"/>
          <w:sz w:val="24"/>
          <w:lang w:val="en-GB"/>
        </w:rPr>
        <w:t xml:space="preserve"> edition of the </w:t>
      </w:r>
      <w:proofErr w:type="spellStart"/>
      <w:r>
        <w:rPr>
          <w:color w:val="000000" w:themeColor="text1"/>
          <w:sz w:val="24"/>
          <w:lang w:val="en-GB"/>
        </w:rPr>
        <w:t>GroWealth</w:t>
      </w:r>
      <w:proofErr w:type="spellEnd"/>
      <w:r>
        <w:rPr>
          <w:color w:val="000000" w:themeColor="text1"/>
          <w:sz w:val="24"/>
          <w:lang w:val="en-GB"/>
        </w:rPr>
        <w:t xml:space="preserve"> Unit Trusts Performance Survey shows that most Unit Trust Funds outpaced the Zimbabwe Stock Exchange (ZSE) All Share index and inflation </w:t>
      </w:r>
      <w:r w:rsidR="00DC1BE6">
        <w:rPr>
          <w:color w:val="000000" w:themeColor="text1"/>
          <w:sz w:val="24"/>
          <w:lang w:val="en-GB"/>
        </w:rPr>
        <w:t xml:space="preserve">during the </w:t>
      </w:r>
      <w:r w:rsidR="00A4501E">
        <w:rPr>
          <w:color w:val="000000" w:themeColor="text1"/>
          <w:sz w:val="24"/>
          <w:lang w:val="en-GB"/>
        </w:rPr>
        <w:t>month.</w:t>
      </w:r>
      <w:r>
        <w:rPr>
          <w:color w:val="000000" w:themeColor="text1"/>
          <w:sz w:val="24"/>
          <w:lang w:val="en-GB"/>
        </w:rPr>
        <w:t xml:space="preserve"> This is a positive outcome for Unit Trust investors as they enjoyed positive real returns above inflation</w:t>
      </w:r>
      <w:r w:rsidR="00D94820">
        <w:rPr>
          <w:color w:val="000000" w:themeColor="text1"/>
          <w:sz w:val="24"/>
          <w:lang w:val="en-GB"/>
        </w:rPr>
        <w:t>.</w:t>
      </w:r>
      <w:r>
        <w:rPr>
          <w:color w:val="000000" w:themeColor="text1"/>
          <w:sz w:val="24"/>
          <w:lang w:val="en-GB"/>
        </w:rPr>
        <w:t xml:space="preserve"> The performance was </w:t>
      </w:r>
      <w:r w:rsidR="00405CCB">
        <w:rPr>
          <w:color w:val="000000" w:themeColor="text1"/>
          <w:sz w:val="24"/>
          <w:lang w:val="en-GB"/>
        </w:rPr>
        <w:t xml:space="preserve">largely </w:t>
      </w:r>
      <w:r>
        <w:rPr>
          <w:color w:val="000000" w:themeColor="text1"/>
          <w:sz w:val="24"/>
          <w:lang w:val="en-GB"/>
        </w:rPr>
        <w:t xml:space="preserve">driven by </w:t>
      </w:r>
      <w:r w:rsidR="00D94820">
        <w:rPr>
          <w:color w:val="000000" w:themeColor="text1"/>
          <w:sz w:val="24"/>
          <w:lang w:val="en-GB"/>
        </w:rPr>
        <w:t>the strong performance</w:t>
      </w:r>
      <w:r w:rsidR="00405CCB">
        <w:rPr>
          <w:color w:val="000000" w:themeColor="text1"/>
          <w:sz w:val="24"/>
          <w:lang w:val="en-GB"/>
        </w:rPr>
        <w:t xml:space="preserve"> from the</w:t>
      </w:r>
      <w:r>
        <w:rPr>
          <w:color w:val="000000" w:themeColor="text1"/>
          <w:sz w:val="24"/>
          <w:lang w:val="en-GB"/>
        </w:rPr>
        <w:t xml:space="preserve"> ZSE</w:t>
      </w:r>
      <w:r w:rsidR="00D94820">
        <w:rPr>
          <w:color w:val="000000" w:themeColor="text1"/>
          <w:sz w:val="24"/>
          <w:lang w:val="en-GB"/>
        </w:rPr>
        <w:t>, which was up 24.10% in February 2022</w:t>
      </w:r>
      <w:r>
        <w:rPr>
          <w:color w:val="000000" w:themeColor="text1"/>
          <w:sz w:val="24"/>
          <w:lang w:val="en-GB"/>
        </w:rPr>
        <w:t>. Fund Managers who had superior stock-picking ability surpassed this average growth on the ZSE.</w:t>
      </w:r>
    </w:p>
    <w:p w14:paraId="73684352" w14:textId="7AC01283" w:rsidR="00DB6D41" w:rsidRDefault="00D94820" w:rsidP="00AA7850">
      <w:pPr>
        <w:spacing w:line="276" w:lineRule="auto"/>
        <w:jc w:val="both"/>
        <w:rPr>
          <w:color w:val="000000" w:themeColor="text1"/>
          <w:sz w:val="24"/>
          <w:lang w:val="en-GB"/>
        </w:rPr>
      </w:pPr>
      <w:r>
        <w:rPr>
          <w:color w:val="000000" w:themeColor="text1"/>
          <w:sz w:val="24"/>
          <w:lang w:val="en-GB"/>
        </w:rPr>
        <w:t>The</w:t>
      </w:r>
      <w:r w:rsidR="005442D7">
        <w:rPr>
          <w:color w:val="000000" w:themeColor="text1"/>
          <w:sz w:val="24"/>
          <w:lang w:val="en-GB"/>
        </w:rPr>
        <w:t xml:space="preserve"> latest </w:t>
      </w:r>
      <w:proofErr w:type="spellStart"/>
      <w:r w:rsidR="005442D7">
        <w:rPr>
          <w:color w:val="000000" w:themeColor="text1"/>
          <w:sz w:val="24"/>
          <w:lang w:val="en-GB"/>
        </w:rPr>
        <w:t>GroWealth</w:t>
      </w:r>
      <w:proofErr w:type="spellEnd"/>
      <w:r w:rsidR="005442D7">
        <w:rPr>
          <w:color w:val="000000" w:themeColor="text1"/>
          <w:sz w:val="24"/>
          <w:lang w:val="en-GB"/>
        </w:rPr>
        <w:t xml:space="preserve"> Unit Trusts </w:t>
      </w:r>
      <w:r>
        <w:rPr>
          <w:color w:val="000000" w:themeColor="text1"/>
          <w:sz w:val="24"/>
          <w:lang w:val="en-GB"/>
        </w:rPr>
        <w:t xml:space="preserve">Performance Survey shows that </w:t>
      </w:r>
      <w:r w:rsidR="00A4501E">
        <w:rPr>
          <w:color w:val="000000" w:themeColor="text1"/>
          <w:sz w:val="24"/>
          <w:lang w:val="en-GB"/>
        </w:rPr>
        <w:t>in February</w:t>
      </w:r>
      <w:r w:rsidR="00A66582">
        <w:rPr>
          <w:color w:val="000000" w:themeColor="text1"/>
          <w:sz w:val="24"/>
          <w:lang w:val="en-GB"/>
        </w:rPr>
        <w:t xml:space="preserve">, most </w:t>
      </w:r>
      <w:r w:rsidR="00262480">
        <w:rPr>
          <w:color w:val="000000" w:themeColor="text1"/>
          <w:sz w:val="24"/>
          <w:lang w:val="en-GB"/>
        </w:rPr>
        <w:t xml:space="preserve">equity </w:t>
      </w:r>
      <w:r w:rsidR="00A66582">
        <w:rPr>
          <w:color w:val="000000" w:themeColor="text1"/>
          <w:sz w:val="24"/>
          <w:lang w:val="en-GB"/>
        </w:rPr>
        <w:t>funds outperform</w:t>
      </w:r>
      <w:r w:rsidR="00262480">
        <w:rPr>
          <w:color w:val="000000" w:themeColor="text1"/>
          <w:sz w:val="24"/>
          <w:lang w:val="en-GB"/>
        </w:rPr>
        <w:t>ed</w:t>
      </w:r>
      <w:r w:rsidR="006F7276">
        <w:rPr>
          <w:color w:val="000000" w:themeColor="text1"/>
          <w:sz w:val="24"/>
          <w:lang w:val="en-GB"/>
        </w:rPr>
        <w:t xml:space="preserve"> the </w:t>
      </w:r>
      <w:r w:rsidR="00DC1BE6">
        <w:rPr>
          <w:color w:val="000000" w:themeColor="text1"/>
          <w:sz w:val="24"/>
          <w:lang w:val="en-GB"/>
        </w:rPr>
        <w:t>All-Share</w:t>
      </w:r>
      <w:r w:rsidR="006F7276">
        <w:rPr>
          <w:color w:val="000000" w:themeColor="text1"/>
          <w:sz w:val="24"/>
          <w:lang w:val="en-GB"/>
        </w:rPr>
        <w:t xml:space="preserve"> I</w:t>
      </w:r>
      <w:r w:rsidR="007B60B7">
        <w:rPr>
          <w:color w:val="000000" w:themeColor="text1"/>
          <w:sz w:val="24"/>
          <w:lang w:val="en-GB"/>
        </w:rPr>
        <w:t>ndex</w:t>
      </w:r>
      <w:r w:rsidR="006F7276">
        <w:rPr>
          <w:color w:val="000000" w:themeColor="text1"/>
          <w:sz w:val="24"/>
          <w:lang w:val="en-GB"/>
        </w:rPr>
        <w:t xml:space="preserve"> due to high exposure to </w:t>
      </w:r>
      <w:r w:rsidR="005442D7">
        <w:rPr>
          <w:color w:val="000000" w:themeColor="text1"/>
          <w:sz w:val="24"/>
          <w:lang w:val="en-GB"/>
        </w:rPr>
        <w:t>large cap</w:t>
      </w:r>
      <w:r w:rsidR="006F7276">
        <w:rPr>
          <w:color w:val="000000" w:themeColor="text1"/>
          <w:sz w:val="24"/>
          <w:lang w:val="en-GB"/>
        </w:rPr>
        <w:t xml:space="preserve"> counters whose performance, as represented by the </w:t>
      </w:r>
      <w:r w:rsidR="003D1920">
        <w:rPr>
          <w:color w:val="000000" w:themeColor="text1"/>
          <w:sz w:val="24"/>
          <w:lang w:val="en-GB"/>
        </w:rPr>
        <w:t xml:space="preserve">ZSE </w:t>
      </w:r>
      <w:r w:rsidR="007B60B7">
        <w:rPr>
          <w:color w:val="000000" w:themeColor="text1"/>
          <w:sz w:val="24"/>
          <w:lang w:val="en-GB"/>
        </w:rPr>
        <w:t>Top 10 Index, was on the high</w:t>
      </w:r>
      <w:r w:rsidR="006F7276">
        <w:rPr>
          <w:color w:val="000000" w:themeColor="text1"/>
          <w:sz w:val="24"/>
          <w:lang w:val="en-GB"/>
        </w:rPr>
        <w:t xml:space="preserve"> side. </w:t>
      </w:r>
      <w:r w:rsidR="00A66582">
        <w:rPr>
          <w:color w:val="000000" w:themeColor="text1"/>
          <w:sz w:val="24"/>
          <w:lang w:val="en-GB"/>
        </w:rPr>
        <w:t xml:space="preserve"> On average the equities funds recorded a </w:t>
      </w:r>
      <w:r>
        <w:rPr>
          <w:color w:val="000000" w:themeColor="text1"/>
          <w:sz w:val="24"/>
          <w:lang w:val="en-GB"/>
        </w:rPr>
        <w:t>positive performance of 27.36% in February</w:t>
      </w:r>
      <w:r w:rsidR="007B60B7">
        <w:rPr>
          <w:color w:val="000000" w:themeColor="text1"/>
          <w:sz w:val="24"/>
          <w:lang w:val="en-GB"/>
        </w:rPr>
        <w:t xml:space="preserve"> </w:t>
      </w:r>
      <w:r w:rsidR="005442D7">
        <w:rPr>
          <w:color w:val="000000" w:themeColor="text1"/>
          <w:sz w:val="24"/>
          <w:lang w:val="en-GB"/>
        </w:rPr>
        <w:t>2022</w:t>
      </w:r>
      <w:r w:rsidR="00A66582">
        <w:rPr>
          <w:color w:val="000000" w:themeColor="text1"/>
          <w:sz w:val="24"/>
          <w:lang w:val="en-GB"/>
        </w:rPr>
        <w:t xml:space="preserve"> against the ZSE All</w:t>
      </w:r>
      <w:r w:rsidR="006F7276">
        <w:rPr>
          <w:color w:val="000000" w:themeColor="text1"/>
          <w:sz w:val="24"/>
          <w:lang w:val="en-GB"/>
        </w:rPr>
        <w:t xml:space="preserve"> </w:t>
      </w:r>
      <w:r w:rsidR="005442D7">
        <w:rPr>
          <w:color w:val="000000" w:themeColor="text1"/>
          <w:sz w:val="24"/>
          <w:lang w:val="en-GB"/>
        </w:rPr>
        <w:t>Share index performanc</w:t>
      </w:r>
      <w:r>
        <w:rPr>
          <w:color w:val="000000" w:themeColor="text1"/>
          <w:sz w:val="24"/>
          <w:lang w:val="en-GB"/>
        </w:rPr>
        <w:t>e of 24.10</w:t>
      </w:r>
      <w:r w:rsidR="006F7276">
        <w:rPr>
          <w:color w:val="000000" w:themeColor="text1"/>
          <w:sz w:val="24"/>
          <w:lang w:val="en-GB"/>
        </w:rPr>
        <w:t>% (</w:t>
      </w:r>
      <w:r w:rsidR="0080334D">
        <w:rPr>
          <w:color w:val="000000" w:themeColor="text1"/>
          <w:sz w:val="24"/>
          <w:lang w:val="en-GB"/>
        </w:rPr>
        <w:t xml:space="preserve">The </w:t>
      </w:r>
      <w:r w:rsidR="006F7276">
        <w:rPr>
          <w:color w:val="000000" w:themeColor="text1"/>
          <w:sz w:val="24"/>
          <w:lang w:val="en-GB"/>
        </w:rPr>
        <w:t>Top 10</w:t>
      </w:r>
      <w:r w:rsidR="005442D7">
        <w:rPr>
          <w:color w:val="000000" w:themeColor="text1"/>
          <w:sz w:val="24"/>
          <w:lang w:val="en-GB"/>
        </w:rPr>
        <w:t xml:space="preserve"> </w:t>
      </w:r>
      <w:r>
        <w:rPr>
          <w:color w:val="000000" w:themeColor="text1"/>
          <w:sz w:val="24"/>
          <w:lang w:val="en-GB"/>
        </w:rPr>
        <w:t>Index performance stood at 27.32%) and inflation at 6.99</w:t>
      </w:r>
      <w:r w:rsidR="00704A26">
        <w:rPr>
          <w:color w:val="000000" w:themeColor="text1"/>
          <w:sz w:val="24"/>
          <w:lang w:val="en-GB"/>
        </w:rPr>
        <w:t>% in the month.</w:t>
      </w:r>
    </w:p>
    <w:p w14:paraId="2F457863" w14:textId="1B9603B4" w:rsidR="00833FFD" w:rsidRDefault="005442D7" w:rsidP="00BB10B9">
      <w:pPr>
        <w:spacing w:line="276" w:lineRule="auto"/>
        <w:jc w:val="both"/>
        <w:rPr>
          <w:color w:val="000000" w:themeColor="text1"/>
          <w:sz w:val="24"/>
          <w:szCs w:val="24"/>
          <w:lang w:val="en-GB"/>
        </w:rPr>
      </w:pPr>
      <w:r>
        <w:rPr>
          <w:color w:val="000000" w:themeColor="text1"/>
          <w:sz w:val="24"/>
          <w:szCs w:val="24"/>
          <w:lang w:val="en-GB"/>
        </w:rPr>
        <w:t>In support of</w:t>
      </w:r>
      <w:r w:rsidR="0058609F">
        <w:rPr>
          <w:color w:val="000000" w:themeColor="text1"/>
          <w:sz w:val="24"/>
          <w:szCs w:val="24"/>
          <w:lang w:val="en-GB"/>
        </w:rPr>
        <w:t xml:space="preserve"> </w:t>
      </w:r>
      <w:r w:rsidR="0058609F" w:rsidRPr="00272038">
        <w:rPr>
          <w:color w:val="000000" w:themeColor="text1"/>
          <w:sz w:val="24"/>
          <w:szCs w:val="24"/>
          <w:lang w:val="en-GB"/>
        </w:rPr>
        <w:t>the</w:t>
      </w:r>
      <w:r w:rsidR="00BB10B9" w:rsidRPr="00272038">
        <w:rPr>
          <w:color w:val="000000" w:themeColor="text1"/>
          <w:sz w:val="24"/>
          <w:szCs w:val="24"/>
          <w:lang w:val="en-GB"/>
        </w:rPr>
        <w:t xml:space="preserve"> multi-currency </w:t>
      </w:r>
      <w:r w:rsidR="00833FFD">
        <w:rPr>
          <w:color w:val="000000" w:themeColor="text1"/>
          <w:sz w:val="24"/>
          <w:szCs w:val="24"/>
          <w:lang w:val="en-GB"/>
        </w:rPr>
        <w:t>policy framework</w:t>
      </w:r>
      <w:r w:rsidR="00E93017">
        <w:rPr>
          <w:color w:val="000000" w:themeColor="text1"/>
          <w:sz w:val="24"/>
          <w:szCs w:val="24"/>
          <w:lang w:val="en-GB"/>
        </w:rPr>
        <w:t>, the number of Fund Managers</w:t>
      </w:r>
      <w:r w:rsidR="00BE21DD">
        <w:rPr>
          <w:color w:val="000000" w:themeColor="text1"/>
          <w:sz w:val="24"/>
          <w:szCs w:val="24"/>
          <w:lang w:val="en-GB"/>
        </w:rPr>
        <w:t xml:space="preserve"> </w:t>
      </w:r>
      <w:r w:rsidR="00BB10B9" w:rsidRPr="00272038">
        <w:rPr>
          <w:color w:val="000000" w:themeColor="text1"/>
          <w:sz w:val="24"/>
          <w:szCs w:val="24"/>
          <w:lang w:val="en-GB"/>
        </w:rPr>
        <w:t xml:space="preserve">offering foreign currency denominated (USD) unit trust funds </w:t>
      </w:r>
      <w:r w:rsidR="00E93017">
        <w:rPr>
          <w:color w:val="000000" w:themeColor="text1"/>
          <w:sz w:val="24"/>
          <w:szCs w:val="24"/>
          <w:lang w:val="en-GB"/>
        </w:rPr>
        <w:t xml:space="preserve">have increased </w:t>
      </w:r>
      <w:r w:rsidR="00BB10B9" w:rsidRPr="00272038">
        <w:rPr>
          <w:color w:val="000000" w:themeColor="text1"/>
          <w:sz w:val="24"/>
          <w:szCs w:val="24"/>
          <w:lang w:val="en-GB"/>
        </w:rPr>
        <w:t xml:space="preserve">to cater for those investors with hard currency or nostro balances. This </w:t>
      </w:r>
      <w:r w:rsidR="00BB10B9">
        <w:rPr>
          <w:color w:val="000000" w:themeColor="text1"/>
          <w:sz w:val="24"/>
          <w:szCs w:val="24"/>
          <w:lang w:val="en-GB"/>
        </w:rPr>
        <w:t xml:space="preserve">is also supported by the </w:t>
      </w:r>
      <w:r w:rsidR="00A4501E">
        <w:rPr>
          <w:color w:val="000000" w:themeColor="text1"/>
          <w:sz w:val="24"/>
          <w:szCs w:val="24"/>
          <w:lang w:val="en-GB"/>
        </w:rPr>
        <w:t>rise of</w:t>
      </w:r>
      <w:r w:rsidR="00BB10B9">
        <w:rPr>
          <w:color w:val="000000" w:themeColor="text1"/>
          <w:sz w:val="24"/>
          <w:szCs w:val="24"/>
          <w:lang w:val="en-GB"/>
        </w:rPr>
        <w:t xml:space="preserve"> the Victoria Falls Stock Exchange (VFEX) where investors buy and sell shares in har</w:t>
      </w:r>
      <w:r w:rsidR="00E93017">
        <w:rPr>
          <w:color w:val="000000" w:themeColor="text1"/>
          <w:sz w:val="24"/>
          <w:szCs w:val="24"/>
          <w:lang w:val="en-GB"/>
        </w:rPr>
        <w:t xml:space="preserve">d currency and has now seen four companies trading on the foreign </w:t>
      </w:r>
      <w:r w:rsidR="008A1473">
        <w:rPr>
          <w:color w:val="000000" w:themeColor="text1"/>
          <w:sz w:val="24"/>
          <w:szCs w:val="24"/>
          <w:lang w:val="en-GB"/>
        </w:rPr>
        <w:t>currency bourse.</w:t>
      </w:r>
    </w:p>
    <w:p w14:paraId="4EDAD038" w14:textId="58E1215E" w:rsidR="00BB10B9" w:rsidRPr="00272038" w:rsidRDefault="00833FFD" w:rsidP="00BB10B9">
      <w:pPr>
        <w:spacing w:line="276" w:lineRule="auto"/>
        <w:jc w:val="both"/>
        <w:rPr>
          <w:color w:val="000000" w:themeColor="text1"/>
          <w:sz w:val="24"/>
          <w:szCs w:val="24"/>
          <w:lang w:val="en-GB"/>
        </w:rPr>
      </w:pPr>
      <w:r>
        <w:rPr>
          <w:color w:val="000000" w:themeColor="text1"/>
          <w:sz w:val="24"/>
          <w:szCs w:val="24"/>
          <w:lang w:val="en-GB"/>
        </w:rPr>
        <w:t xml:space="preserve">To add to investor </w:t>
      </w:r>
      <w:r w:rsidR="00C52117">
        <w:rPr>
          <w:color w:val="000000" w:themeColor="text1"/>
          <w:sz w:val="24"/>
          <w:szCs w:val="24"/>
          <w:lang w:val="en-GB"/>
        </w:rPr>
        <w:t>options</w:t>
      </w:r>
      <w:r>
        <w:rPr>
          <w:color w:val="000000" w:themeColor="text1"/>
          <w:sz w:val="24"/>
          <w:szCs w:val="24"/>
          <w:lang w:val="en-GB"/>
        </w:rPr>
        <w:t xml:space="preserve">, there are now two Exchange Traded Funds (ETFs) listed on the Zimbabwe Stock Exchange (ZSE). ETFs are </w:t>
      </w:r>
      <w:proofErr w:type="gramStart"/>
      <w:r>
        <w:rPr>
          <w:color w:val="000000" w:themeColor="text1"/>
          <w:sz w:val="24"/>
          <w:szCs w:val="24"/>
          <w:lang w:val="en-GB"/>
        </w:rPr>
        <w:t>similar to</w:t>
      </w:r>
      <w:proofErr w:type="gramEnd"/>
      <w:r>
        <w:rPr>
          <w:color w:val="000000" w:themeColor="text1"/>
          <w:sz w:val="24"/>
          <w:szCs w:val="24"/>
          <w:lang w:val="en-GB"/>
        </w:rPr>
        <w:t xml:space="preserve"> unit </w:t>
      </w:r>
      <w:r w:rsidR="00505E85">
        <w:rPr>
          <w:color w:val="000000" w:themeColor="text1"/>
          <w:sz w:val="24"/>
          <w:szCs w:val="24"/>
          <w:lang w:val="en-GB"/>
        </w:rPr>
        <w:t xml:space="preserve">trusts in that they operate as collective investment schemes and offer investors a portfolio of underlying investments. </w:t>
      </w:r>
      <w:r w:rsidR="00BB10B9" w:rsidRPr="00272038">
        <w:rPr>
          <w:color w:val="000000" w:themeColor="text1"/>
          <w:sz w:val="24"/>
          <w:szCs w:val="24"/>
          <w:lang w:val="en-GB"/>
        </w:rPr>
        <w:t>Real Estate Investment Trusts (REITS), another category of Collective Investments Schemes registered by the Securities and Exchange Commission of Zimbabwe (SECZ), are expected to come on stream soon and should give even small investors an opportunity to invest in property. Already two managers are offering property funds.</w:t>
      </w:r>
      <w:r>
        <w:rPr>
          <w:color w:val="000000" w:themeColor="text1"/>
          <w:sz w:val="24"/>
          <w:szCs w:val="24"/>
          <w:lang w:val="en-GB"/>
        </w:rPr>
        <w:t xml:space="preserve"> </w:t>
      </w:r>
    </w:p>
    <w:p w14:paraId="30E683D3" w14:textId="6FD273F4" w:rsidR="00BB10B9" w:rsidRPr="00BB10B9" w:rsidRDefault="00BB10B9" w:rsidP="00BB10B9">
      <w:pPr>
        <w:spacing w:line="276" w:lineRule="auto"/>
        <w:jc w:val="both"/>
        <w:rPr>
          <w:color w:val="000000" w:themeColor="text1"/>
          <w:sz w:val="24"/>
          <w:lang w:val="en-GB"/>
        </w:rPr>
      </w:pPr>
      <w:r w:rsidRPr="00BB10B9">
        <w:rPr>
          <w:color w:val="000000" w:themeColor="text1"/>
          <w:sz w:val="24"/>
          <w:lang w:val="en-GB"/>
        </w:rPr>
        <w:t xml:space="preserve">Since the launch of the </w:t>
      </w:r>
      <w:proofErr w:type="spellStart"/>
      <w:r w:rsidRPr="00BB10B9">
        <w:rPr>
          <w:color w:val="000000" w:themeColor="text1"/>
          <w:sz w:val="24"/>
          <w:lang w:val="en-GB"/>
        </w:rPr>
        <w:t>GroWealth</w:t>
      </w:r>
      <w:proofErr w:type="spellEnd"/>
      <w:r w:rsidRPr="00BB10B9">
        <w:rPr>
          <w:color w:val="000000" w:themeColor="text1"/>
          <w:sz w:val="24"/>
          <w:lang w:val="en-GB"/>
        </w:rPr>
        <w:t xml:space="preserve"> publication in November 2020, interest from different</w:t>
      </w:r>
      <w:r w:rsidR="00A376DF">
        <w:rPr>
          <w:color w:val="000000" w:themeColor="text1"/>
          <w:sz w:val="24"/>
          <w:lang w:val="en-GB"/>
        </w:rPr>
        <w:t xml:space="preserve"> stakeholders has been growing, with fund managers reporting increased uptake in unit trust investments</w:t>
      </w:r>
      <w:r w:rsidRPr="00BB10B9">
        <w:rPr>
          <w:color w:val="000000" w:themeColor="text1"/>
          <w:sz w:val="24"/>
          <w:lang w:val="en-GB"/>
        </w:rPr>
        <w:t>. In addition, Fund Managers have been receiving enquiries from the investing public keen on investing in Unit Trust funds, most of them as first-time investors. The Survey provides basic information and returns data on all unit trust funds offered by various licensed investment managers in Zimbabwe. The unit trusts are also licensed by the SECZ, which gives investors comfort owing to the level of regulatory surveillance and protection.</w:t>
      </w:r>
    </w:p>
    <w:p w14:paraId="0AC12179" w14:textId="77777777" w:rsidR="00BB10B9" w:rsidRPr="00272038" w:rsidRDefault="00BB10B9" w:rsidP="00BB10B9">
      <w:pPr>
        <w:spacing w:line="276" w:lineRule="auto"/>
        <w:jc w:val="both"/>
        <w:rPr>
          <w:color w:val="000000" w:themeColor="text1"/>
          <w:sz w:val="24"/>
          <w:szCs w:val="24"/>
          <w:lang w:val="en-GB"/>
        </w:rPr>
      </w:pPr>
      <w:r w:rsidRPr="00272038">
        <w:rPr>
          <w:color w:val="000000" w:themeColor="text1"/>
          <w:sz w:val="24"/>
          <w:szCs w:val="24"/>
          <w:lang w:val="en-GB"/>
        </w:rPr>
        <w:t xml:space="preserve">The fundamental goal of the </w:t>
      </w:r>
      <w:proofErr w:type="spellStart"/>
      <w:r w:rsidRPr="00272038">
        <w:rPr>
          <w:color w:val="000000" w:themeColor="text1"/>
          <w:sz w:val="24"/>
          <w:szCs w:val="24"/>
          <w:lang w:val="en-GB"/>
        </w:rPr>
        <w:t>GroWealth</w:t>
      </w:r>
      <w:proofErr w:type="spellEnd"/>
      <w:r w:rsidRPr="00272038">
        <w:rPr>
          <w:color w:val="000000" w:themeColor="text1"/>
          <w:sz w:val="24"/>
          <w:szCs w:val="24"/>
          <w:lang w:val="en-GB"/>
        </w:rPr>
        <w:t xml:space="preserve"> Unit Trust Survey, which is summarised in the Monthly Report, is to keep members abreast of the performance of different unit trust products. Investors can follow how each of the Unit Trust Funds is performing from time to time by examining these monthly reports. For those investors who are already invested in </w:t>
      </w:r>
      <w:proofErr w:type="gramStart"/>
      <w:r w:rsidRPr="00272038">
        <w:rPr>
          <w:color w:val="000000" w:themeColor="text1"/>
          <w:sz w:val="24"/>
          <w:szCs w:val="24"/>
          <w:lang w:val="en-GB"/>
        </w:rPr>
        <w:t>one or more unit</w:t>
      </w:r>
      <w:proofErr w:type="gramEnd"/>
      <w:r w:rsidRPr="00272038">
        <w:rPr>
          <w:color w:val="000000" w:themeColor="text1"/>
          <w:sz w:val="24"/>
          <w:szCs w:val="24"/>
          <w:lang w:val="en-GB"/>
        </w:rPr>
        <w:t xml:space="preserve"> trusts, they would have been receiving regular performance reports from their respective fund managers. The </w:t>
      </w:r>
      <w:proofErr w:type="spellStart"/>
      <w:r w:rsidRPr="00272038">
        <w:rPr>
          <w:color w:val="000000" w:themeColor="text1"/>
          <w:sz w:val="24"/>
          <w:szCs w:val="24"/>
          <w:lang w:val="en-GB"/>
        </w:rPr>
        <w:t>GroWealth</w:t>
      </w:r>
      <w:proofErr w:type="spellEnd"/>
      <w:r w:rsidRPr="00272038">
        <w:rPr>
          <w:color w:val="000000" w:themeColor="text1"/>
          <w:sz w:val="24"/>
          <w:szCs w:val="24"/>
          <w:lang w:val="en-GB"/>
        </w:rPr>
        <w:t xml:space="preserve"> Report shows the performances of all the active funds across different time </w:t>
      </w:r>
      <w:proofErr w:type="gramStart"/>
      <w:r w:rsidRPr="00272038">
        <w:rPr>
          <w:color w:val="000000" w:themeColor="text1"/>
          <w:sz w:val="24"/>
          <w:szCs w:val="24"/>
          <w:lang w:val="en-GB"/>
        </w:rPr>
        <w:t>intervals</w:t>
      </w:r>
      <w:proofErr w:type="gramEnd"/>
      <w:r w:rsidRPr="00272038">
        <w:rPr>
          <w:color w:val="000000" w:themeColor="text1"/>
          <w:sz w:val="24"/>
          <w:szCs w:val="24"/>
          <w:lang w:val="en-GB"/>
        </w:rPr>
        <w:t xml:space="preserve"> and this gives investors the required perspective on the medium to long-term investment performances of the various funds. This is the key element to decision-making for any investor. </w:t>
      </w:r>
    </w:p>
    <w:p w14:paraId="2E2DE2C5" w14:textId="77777777" w:rsidR="00BB10B9" w:rsidRPr="00272038" w:rsidRDefault="00BB10B9" w:rsidP="00BB10B9">
      <w:pPr>
        <w:spacing w:line="276" w:lineRule="auto"/>
        <w:jc w:val="both"/>
        <w:rPr>
          <w:color w:val="000000" w:themeColor="text1"/>
          <w:sz w:val="24"/>
          <w:szCs w:val="24"/>
          <w:lang w:val="en-GB"/>
        </w:rPr>
      </w:pPr>
      <w:r w:rsidRPr="00272038">
        <w:rPr>
          <w:color w:val="000000" w:themeColor="text1"/>
          <w:sz w:val="24"/>
          <w:szCs w:val="24"/>
          <w:lang w:val="en-GB"/>
        </w:rPr>
        <w:t xml:space="preserve">Unit trusts are investment schemes that pool funds from different investors and invest according to pre-defined objectives set out in the Prospectus of the Fund (available upon request). The underlying investments can be in fixed income instruments, listed equities, </w:t>
      </w:r>
      <w:proofErr w:type="gramStart"/>
      <w:r w:rsidRPr="00272038">
        <w:rPr>
          <w:color w:val="000000" w:themeColor="text1"/>
          <w:sz w:val="24"/>
          <w:szCs w:val="24"/>
          <w:lang w:val="en-GB"/>
        </w:rPr>
        <w:t>property</w:t>
      </w:r>
      <w:proofErr w:type="gramEnd"/>
      <w:r w:rsidRPr="00272038">
        <w:rPr>
          <w:color w:val="000000" w:themeColor="text1"/>
          <w:sz w:val="24"/>
          <w:szCs w:val="24"/>
          <w:lang w:val="en-GB"/>
        </w:rPr>
        <w:t xml:space="preserve"> or other alternative investments.</w:t>
      </w:r>
    </w:p>
    <w:p w14:paraId="316161CE" w14:textId="0736D11F" w:rsidR="00BB10B9" w:rsidRPr="00272038" w:rsidRDefault="00BB10B9" w:rsidP="00BB10B9">
      <w:pPr>
        <w:spacing w:line="276" w:lineRule="auto"/>
        <w:jc w:val="both"/>
        <w:rPr>
          <w:color w:val="000000" w:themeColor="text1"/>
          <w:sz w:val="24"/>
          <w:szCs w:val="24"/>
          <w:lang w:val="en-GB"/>
        </w:rPr>
      </w:pPr>
      <w:r w:rsidRPr="00272038">
        <w:rPr>
          <w:color w:val="000000" w:themeColor="text1"/>
          <w:sz w:val="24"/>
          <w:szCs w:val="24"/>
          <w:lang w:val="en-GB"/>
        </w:rPr>
        <w:t xml:space="preserve">Before making any investment into vehicles such as Unit Trusts, an investor must be clear </w:t>
      </w:r>
      <w:r w:rsidR="00A4501E">
        <w:rPr>
          <w:color w:val="000000" w:themeColor="text1"/>
          <w:sz w:val="24"/>
          <w:szCs w:val="24"/>
          <w:lang w:val="en-GB"/>
        </w:rPr>
        <w:t xml:space="preserve">of </w:t>
      </w:r>
      <w:r w:rsidR="00A4501E" w:rsidRPr="00272038">
        <w:rPr>
          <w:color w:val="000000" w:themeColor="text1"/>
          <w:sz w:val="24"/>
          <w:szCs w:val="24"/>
          <w:lang w:val="en-GB"/>
        </w:rPr>
        <w:t>their</w:t>
      </w:r>
      <w:r w:rsidRPr="00272038">
        <w:rPr>
          <w:color w:val="000000" w:themeColor="text1"/>
          <w:sz w:val="24"/>
          <w:szCs w:val="24"/>
          <w:lang w:val="en-GB"/>
        </w:rPr>
        <w:t xml:space="preserve"> investment objectives. These objectives are determined by answering the following questions:</w:t>
      </w:r>
    </w:p>
    <w:p w14:paraId="11CA7E96" w14:textId="77777777" w:rsidR="006F7276" w:rsidRPr="006F7276" w:rsidRDefault="006F7276" w:rsidP="006F7276">
      <w:pPr>
        <w:pStyle w:val="ListParagraph"/>
        <w:numPr>
          <w:ilvl w:val="0"/>
          <w:numId w:val="1"/>
        </w:numPr>
        <w:spacing w:line="276" w:lineRule="auto"/>
        <w:jc w:val="both"/>
        <w:rPr>
          <w:color w:val="000000" w:themeColor="text1"/>
          <w:sz w:val="24"/>
          <w:lang w:val="en-GB"/>
        </w:rPr>
      </w:pPr>
      <w:r w:rsidRPr="006F7276">
        <w:rPr>
          <w:color w:val="000000" w:themeColor="text1"/>
          <w:sz w:val="24"/>
          <w:lang w:val="en-GB"/>
        </w:rPr>
        <w:t>How much do I want to invest?</w:t>
      </w:r>
    </w:p>
    <w:p w14:paraId="2067068D" w14:textId="77777777" w:rsidR="006F7276" w:rsidRPr="006F7276" w:rsidRDefault="006F7276" w:rsidP="006F7276">
      <w:pPr>
        <w:pStyle w:val="ListParagraph"/>
        <w:numPr>
          <w:ilvl w:val="0"/>
          <w:numId w:val="1"/>
        </w:numPr>
        <w:spacing w:line="276" w:lineRule="auto"/>
        <w:jc w:val="both"/>
        <w:rPr>
          <w:color w:val="000000" w:themeColor="text1"/>
          <w:sz w:val="24"/>
          <w:lang w:val="en-GB"/>
        </w:rPr>
      </w:pPr>
      <w:r w:rsidRPr="006F7276">
        <w:rPr>
          <w:color w:val="000000" w:themeColor="text1"/>
          <w:sz w:val="24"/>
          <w:lang w:val="en-GB"/>
        </w:rPr>
        <w:t>For how long do I want to invest?</w:t>
      </w:r>
    </w:p>
    <w:p w14:paraId="2B7322B2" w14:textId="77777777" w:rsidR="006F7276" w:rsidRPr="006F7276" w:rsidRDefault="006F7276" w:rsidP="006F7276">
      <w:pPr>
        <w:pStyle w:val="ListParagraph"/>
        <w:numPr>
          <w:ilvl w:val="0"/>
          <w:numId w:val="1"/>
        </w:numPr>
        <w:spacing w:after="0" w:line="276" w:lineRule="auto"/>
        <w:jc w:val="both"/>
        <w:rPr>
          <w:color w:val="000000" w:themeColor="text1"/>
          <w:sz w:val="24"/>
          <w:lang w:val="en-GB"/>
        </w:rPr>
      </w:pPr>
      <w:r w:rsidRPr="006F7276">
        <w:rPr>
          <w:color w:val="000000" w:themeColor="text1"/>
          <w:sz w:val="24"/>
          <w:lang w:val="en-GB"/>
        </w:rPr>
        <w:t>What is my target return over that investment period?</w:t>
      </w:r>
    </w:p>
    <w:p w14:paraId="7B06C779" w14:textId="77777777" w:rsidR="006F7276" w:rsidRPr="006F7276" w:rsidRDefault="006F7276" w:rsidP="006F7276">
      <w:pPr>
        <w:pStyle w:val="ListParagraph"/>
        <w:spacing w:after="0" w:line="276" w:lineRule="auto"/>
        <w:ind w:left="1440"/>
        <w:jc w:val="both"/>
        <w:rPr>
          <w:color w:val="000000" w:themeColor="text1"/>
          <w:sz w:val="24"/>
          <w:lang w:val="en-GB"/>
        </w:rPr>
      </w:pPr>
    </w:p>
    <w:p w14:paraId="375F85EB" w14:textId="77777777" w:rsidR="00BE21DD" w:rsidRPr="00272038" w:rsidRDefault="00BE21DD" w:rsidP="00BE21DD">
      <w:pPr>
        <w:spacing w:line="276" w:lineRule="auto"/>
        <w:jc w:val="both"/>
        <w:rPr>
          <w:color w:val="000000" w:themeColor="text1"/>
          <w:sz w:val="24"/>
          <w:szCs w:val="24"/>
          <w:lang w:val="en-GB"/>
        </w:rPr>
      </w:pPr>
      <w:r w:rsidRPr="00272038">
        <w:rPr>
          <w:color w:val="000000" w:themeColor="text1"/>
          <w:sz w:val="24"/>
          <w:szCs w:val="24"/>
          <w:lang w:val="en-GB"/>
        </w:rPr>
        <w:t>The investor must be aware of their own risk profile as this determines which unit trust funds are suitable for them. They can then examine the track record of the various funds and use that as a guide to select their preferred one. Fund Managers from the different firms offering unit trusts funds can readily assist any investor identify the most suitable investment by asking them relevant questions relating to their objectives and risk profile.</w:t>
      </w:r>
    </w:p>
    <w:p w14:paraId="66A1638F" w14:textId="77777777" w:rsidR="00BE21DD" w:rsidRPr="00272038" w:rsidRDefault="00BE21DD" w:rsidP="00BE21DD">
      <w:pPr>
        <w:spacing w:line="276" w:lineRule="auto"/>
        <w:jc w:val="both"/>
        <w:rPr>
          <w:color w:val="000000" w:themeColor="text1"/>
          <w:sz w:val="24"/>
          <w:szCs w:val="24"/>
          <w:lang w:val="en-GB"/>
        </w:rPr>
      </w:pPr>
      <w:r w:rsidRPr="00272038">
        <w:rPr>
          <w:color w:val="000000" w:themeColor="text1"/>
          <w:sz w:val="24"/>
          <w:szCs w:val="24"/>
          <w:lang w:val="en-GB"/>
        </w:rPr>
        <w:t xml:space="preserve">Investors wishing to receive the monthly editions of the </w:t>
      </w:r>
      <w:proofErr w:type="spellStart"/>
      <w:r w:rsidRPr="00272038">
        <w:rPr>
          <w:color w:val="000000" w:themeColor="text1"/>
          <w:sz w:val="24"/>
          <w:szCs w:val="24"/>
          <w:lang w:val="en-GB"/>
        </w:rPr>
        <w:t>GroWealth</w:t>
      </w:r>
      <w:proofErr w:type="spellEnd"/>
      <w:r w:rsidRPr="00272038">
        <w:rPr>
          <w:color w:val="000000" w:themeColor="text1"/>
          <w:sz w:val="24"/>
          <w:szCs w:val="24"/>
          <w:lang w:val="en-GB"/>
        </w:rPr>
        <w:t xml:space="preserve"> Survey can email </w:t>
      </w:r>
      <w:hyperlink r:id="rId8" w:history="1">
        <w:r w:rsidRPr="00272038">
          <w:rPr>
            <w:rStyle w:val="Hyperlink"/>
            <w:sz w:val="24"/>
            <w:szCs w:val="24"/>
            <w:lang w:val="en-GB"/>
          </w:rPr>
          <w:t>analyst@intellego-ic.com</w:t>
        </w:r>
      </w:hyperlink>
      <w:r w:rsidRPr="00272038">
        <w:rPr>
          <w:color w:val="000000" w:themeColor="text1"/>
          <w:sz w:val="24"/>
          <w:szCs w:val="24"/>
          <w:lang w:val="en-GB"/>
        </w:rPr>
        <w:t xml:space="preserve">. The Survey is also available on the SECZ website </w:t>
      </w:r>
      <w:hyperlink r:id="rId9" w:history="1">
        <w:r w:rsidRPr="00272038">
          <w:rPr>
            <w:rStyle w:val="Hyperlink"/>
            <w:sz w:val="24"/>
            <w:szCs w:val="24"/>
            <w:lang w:val="en-GB"/>
          </w:rPr>
          <w:t>www.seczim.co.zw</w:t>
        </w:r>
      </w:hyperlink>
      <w:r w:rsidRPr="00272038">
        <w:rPr>
          <w:color w:val="000000" w:themeColor="text1"/>
          <w:sz w:val="24"/>
          <w:szCs w:val="24"/>
          <w:lang w:val="en-GB"/>
        </w:rPr>
        <w:t xml:space="preserve"> or </w:t>
      </w:r>
      <w:proofErr w:type="spellStart"/>
      <w:r w:rsidRPr="00272038">
        <w:rPr>
          <w:color w:val="000000" w:themeColor="text1"/>
          <w:sz w:val="24"/>
          <w:szCs w:val="24"/>
          <w:lang w:val="en-GB"/>
        </w:rPr>
        <w:t>Intellego</w:t>
      </w:r>
      <w:proofErr w:type="spellEnd"/>
      <w:r w:rsidRPr="00272038">
        <w:rPr>
          <w:color w:val="000000" w:themeColor="text1"/>
          <w:sz w:val="24"/>
          <w:szCs w:val="24"/>
          <w:lang w:val="en-GB"/>
        </w:rPr>
        <w:t xml:space="preserve"> website </w:t>
      </w:r>
      <w:proofErr w:type="gramStart"/>
      <w:r w:rsidRPr="00272038">
        <w:rPr>
          <w:color w:val="000000" w:themeColor="text1"/>
          <w:sz w:val="24"/>
          <w:szCs w:val="24"/>
          <w:lang w:val="en-GB"/>
        </w:rPr>
        <w:t>www.intellego-ic.com .</w:t>
      </w:r>
      <w:proofErr w:type="gramEnd"/>
    </w:p>
    <w:p w14:paraId="10CFC2BD" w14:textId="21EDFA4F" w:rsidR="00EA6C45" w:rsidRPr="00BE21DD" w:rsidRDefault="00BE21DD" w:rsidP="00BE21DD">
      <w:pPr>
        <w:spacing w:line="276" w:lineRule="auto"/>
        <w:jc w:val="both"/>
        <w:rPr>
          <w:b/>
          <w:bCs/>
          <w:sz w:val="24"/>
          <w:szCs w:val="24"/>
        </w:rPr>
      </w:pPr>
      <w:r w:rsidRPr="00272038">
        <w:rPr>
          <w:b/>
          <w:bCs/>
          <w:sz w:val="24"/>
          <w:szCs w:val="24"/>
        </w:rPr>
        <w:t xml:space="preserve">This article was written as part of the Securities and Exchange Commission of Zimbabwe ’s Investor Education Campaign in partnership with the Investor Protection Fund. For more information, please contact: </w:t>
      </w:r>
      <w:hyperlink r:id="rId10" w:history="1">
        <w:r w:rsidRPr="00272038">
          <w:rPr>
            <w:rStyle w:val="Hyperlink"/>
            <w:b/>
            <w:bCs/>
            <w:sz w:val="24"/>
            <w:szCs w:val="24"/>
          </w:rPr>
          <w:t>seczim@seczim.co.zw</w:t>
        </w:r>
      </w:hyperlink>
    </w:p>
    <w:sectPr w:rsidR="00EA6C45" w:rsidRPr="00BE21DD" w:rsidSect="00D16F9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ntonSansComp 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6507"/>
    <w:multiLevelType w:val="hybridMultilevel"/>
    <w:tmpl w:val="3DF09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90DC2"/>
    <w:multiLevelType w:val="hybridMultilevel"/>
    <w:tmpl w:val="AB22D186"/>
    <w:lvl w:ilvl="0" w:tplc="0BBEE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6042A8"/>
    <w:multiLevelType w:val="hybridMultilevel"/>
    <w:tmpl w:val="AC64E6C6"/>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45"/>
    <w:rsid w:val="00020BA4"/>
    <w:rsid w:val="00030FD9"/>
    <w:rsid w:val="00050F77"/>
    <w:rsid w:val="00063BD1"/>
    <w:rsid w:val="0009147C"/>
    <w:rsid w:val="000A0515"/>
    <w:rsid w:val="000C32DA"/>
    <w:rsid w:val="000C539E"/>
    <w:rsid w:val="001415F0"/>
    <w:rsid w:val="001963A5"/>
    <w:rsid w:val="001A33B9"/>
    <w:rsid w:val="001C3756"/>
    <w:rsid w:val="001D408C"/>
    <w:rsid w:val="00256B22"/>
    <w:rsid w:val="00262480"/>
    <w:rsid w:val="00295DED"/>
    <w:rsid w:val="002A6A38"/>
    <w:rsid w:val="002B088A"/>
    <w:rsid w:val="002B6795"/>
    <w:rsid w:val="002D196D"/>
    <w:rsid w:val="002F3A4A"/>
    <w:rsid w:val="003B66E8"/>
    <w:rsid w:val="003C1068"/>
    <w:rsid w:val="003C1218"/>
    <w:rsid w:val="003C4980"/>
    <w:rsid w:val="003C59CD"/>
    <w:rsid w:val="003D1920"/>
    <w:rsid w:val="003D64D2"/>
    <w:rsid w:val="00401CB8"/>
    <w:rsid w:val="00405CCB"/>
    <w:rsid w:val="004107E6"/>
    <w:rsid w:val="004442E2"/>
    <w:rsid w:val="0044742B"/>
    <w:rsid w:val="00454EA8"/>
    <w:rsid w:val="00482A98"/>
    <w:rsid w:val="00492BC5"/>
    <w:rsid w:val="004B2E8C"/>
    <w:rsid w:val="004B6630"/>
    <w:rsid w:val="004D3640"/>
    <w:rsid w:val="004E7FAD"/>
    <w:rsid w:val="00505E85"/>
    <w:rsid w:val="005442D7"/>
    <w:rsid w:val="00554325"/>
    <w:rsid w:val="00563E6F"/>
    <w:rsid w:val="0058609F"/>
    <w:rsid w:val="005D64D4"/>
    <w:rsid w:val="00600C78"/>
    <w:rsid w:val="00603FB6"/>
    <w:rsid w:val="00651812"/>
    <w:rsid w:val="006C1F44"/>
    <w:rsid w:val="006C5BEA"/>
    <w:rsid w:val="006F7276"/>
    <w:rsid w:val="00704A26"/>
    <w:rsid w:val="00764D3C"/>
    <w:rsid w:val="00767129"/>
    <w:rsid w:val="007751D1"/>
    <w:rsid w:val="007B60B7"/>
    <w:rsid w:val="007D1E19"/>
    <w:rsid w:val="0080334D"/>
    <w:rsid w:val="008258AE"/>
    <w:rsid w:val="0083366F"/>
    <w:rsid w:val="00833FFD"/>
    <w:rsid w:val="00861953"/>
    <w:rsid w:val="0089239D"/>
    <w:rsid w:val="008A1473"/>
    <w:rsid w:val="008C7E38"/>
    <w:rsid w:val="008E0581"/>
    <w:rsid w:val="009604C1"/>
    <w:rsid w:val="00975432"/>
    <w:rsid w:val="009A3558"/>
    <w:rsid w:val="00A315A9"/>
    <w:rsid w:val="00A376DF"/>
    <w:rsid w:val="00A4501E"/>
    <w:rsid w:val="00A66582"/>
    <w:rsid w:val="00A81FAE"/>
    <w:rsid w:val="00AA1084"/>
    <w:rsid w:val="00AA7850"/>
    <w:rsid w:val="00AB2056"/>
    <w:rsid w:val="00AD11EF"/>
    <w:rsid w:val="00B41914"/>
    <w:rsid w:val="00B47BD6"/>
    <w:rsid w:val="00B507C3"/>
    <w:rsid w:val="00BB10B9"/>
    <w:rsid w:val="00BE21DD"/>
    <w:rsid w:val="00C12BD7"/>
    <w:rsid w:val="00C52117"/>
    <w:rsid w:val="00C62F47"/>
    <w:rsid w:val="00C71BB7"/>
    <w:rsid w:val="00C85E5E"/>
    <w:rsid w:val="00D06F61"/>
    <w:rsid w:val="00D16F9C"/>
    <w:rsid w:val="00D32E00"/>
    <w:rsid w:val="00D8246E"/>
    <w:rsid w:val="00D94820"/>
    <w:rsid w:val="00DA02F1"/>
    <w:rsid w:val="00DA30A5"/>
    <w:rsid w:val="00DB6D41"/>
    <w:rsid w:val="00DC1BE6"/>
    <w:rsid w:val="00DC22AE"/>
    <w:rsid w:val="00DC44ED"/>
    <w:rsid w:val="00E1431E"/>
    <w:rsid w:val="00E2745A"/>
    <w:rsid w:val="00E93017"/>
    <w:rsid w:val="00EA3644"/>
    <w:rsid w:val="00EA6C45"/>
    <w:rsid w:val="00EB3246"/>
    <w:rsid w:val="00EB572C"/>
    <w:rsid w:val="00EE35A9"/>
    <w:rsid w:val="00F317EA"/>
    <w:rsid w:val="00F43968"/>
    <w:rsid w:val="00F774CB"/>
    <w:rsid w:val="00F91F09"/>
    <w:rsid w:val="00FD74F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1E7A"/>
  <w15:chartTrackingRefBased/>
  <w15:docId w15:val="{9E54A450-3606-44E2-9CA6-6535828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C45"/>
    <w:pPr>
      <w:ind w:left="720"/>
      <w:contextualSpacing/>
    </w:pPr>
    <w:rPr>
      <w:lang w:val="en-US"/>
    </w:rPr>
  </w:style>
  <w:style w:type="character" w:styleId="Hyperlink">
    <w:name w:val="Hyperlink"/>
    <w:basedOn w:val="DefaultParagraphFont"/>
    <w:uiPriority w:val="99"/>
    <w:unhideWhenUsed/>
    <w:rsid w:val="00B41914"/>
    <w:rPr>
      <w:color w:val="0563C1" w:themeColor="hyperlink"/>
      <w:u w:val="single"/>
    </w:rPr>
  </w:style>
  <w:style w:type="paragraph" w:customStyle="1" w:styleId="Default">
    <w:name w:val="Default"/>
    <w:rsid w:val="00256B22"/>
    <w:pPr>
      <w:autoSpaceDE w:val="0"/>
      <w:autoSpaceDN w:val="0"/>
      <w:adjustRightInd w:val="0"/>
      <w:spacing w:after="0" w:line="240" w:lineRule="auto"/>
    </w:pPr>
    <w:rPr>
      <w:rFonts w:ascii="BentonSansComp Regular" w:hAnsi="BentonSansComp Regular" w:cs="BentonSansComp Regular"/>
      <w:color w:val="000000"/>
      <w:sz w:val="24"/>
      <w:szCs w:val="24"/>
    </w:rPr>
  </w:style>
  <w:style w:type="character" w:customStyle="1" w:styleId="A1">
    <w:name w:val="A1"/>
    <w:uiPriority w:val="99"/>
    <w:rsid w:val="00256B22"/>
    <w:rPr>
      <w:rFonts w:cs="BentonSansComp Regular"/>
      <w:color w:val="000000"/>
      <w:sz w:val="12"/>
      <w:szCs w:val="12"/>
    </w:rPr>
  </w:style>
  <w:style w:type="character" w:styleId="CommentReference">
    <w:name w:val="annotation reference"/>
    <w:basedOn w:val="DefaultParagraphFont"/>
    <w:uiPriority w:val="99"/>
    <w:semiHidden/>
    <w:unhideWhenUsed/>
    <w:rsid w:val="00AB2056"/>
    <w:rPr>
      <w:sz w:val="16"/>
      <w:szCs w:val="16"/>
    </w:rPr>
  </w:style>
  <w:style w:type="paragraph" w:styleId="CommentText">
    <w:name w:val="annotation text"/>
    <w:basedOn w:val="Normal"/>
    <w:link w:val="CommentTextChar"/>
    <w:uiPriority w:val="99"/>
    <w:semiHidden/>
    <w:unhideWhenUsed/>
    <w:rsid w:val="00AB2056"/>
    <w:pPr>
      <w:spacing w:line="240" w:lineRule="auto"/>
    </w:pPr>
    <w:rPr>
      <w:sz w:val="20"/>
      <w:szCs w:val="20"/>
    </w:rPr>
  </w:style>
  <w:style w:type="character" w:customStyle="1" w:styleId="CommentTextChar">
    <w:name w:val="Comment Text Char"/>
    <w:basedOn w:val="DefaultParagraphFont"/>
    <w:link w:val="CommentText"/>
    <w:uiPriority w:val="99"/>
    <w:semiHidden/>
    <w:rsid w:val="00AB2056"/>
    <w:rPr>
      <w:sz w:val="20"/>
      <w:szCs w:val="20"/>
    </w:rPr>
  </w:style>
  <w:style w:type="paragraph" w:styleId="CommentSubject">
    <w:name w:val="annotation subject"/>
    <w:basedOn w:val="CommentText"/>
    <w:next w:val="CommentText"/>
    <w:link w:val="CommentSubjectChar"/>
    <w:uiPriority w:val="99"/>
    <w:semiHidden/>
    <w:unhideWhenUsed/>
    <w:rsid w:val="00AB2056"/>
    <w:rPr>
      <w:b/>
      <w:bCs/>
    </w:rPr>
  </w:style>
  <w:style w:type="character" w:customStyle="1" w:styleId="CommentSubjectChar">
    <w:name w:val="Comment Subject Char"/>
    <w:basedOn w:val="CommentTextChar"/>
    <w:link w:val="CommentSubject"/>
    <w:uiPriority w:val="99"/>
    <w:semiHidden/>
    <w:rsid w:val="00AB2056"/>
    <w:rPr>
      <w:b/>
      <w:bCs/>
      <w:sz w:val="20"/>
      <w:szCs w:val="20"/>
    </w:rPr>
  </w:style>
  <w:style w:type="paragraph" w:styleId="Revision">
    <w:name w:val="Revision"/>
    <w:hidden/>
    <w:uiPriority w:val="99"/>
    <w:semiHidden/>
    <w:rsid w:val="00AB2056"/>
    <w:pPr>
      <w:spacing w:after="0" w:line="240" w:lineRule="auto"/>
    </w:pPr>
  </w:style>
  <w:style w:type="paragraph" w:styleId="BalloonText">
    <w:name w:val="Balloon Text"/>
    <w:basedOn w:val="Normal"/>
    <w:link w:val="BalloonTextChar"/>
    <w:uiPriority w:val="99"/>
    <w:semiHidden/>
    <w:unhideWhenUsed/>
    <w:rsid w:val="004E7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658835">
      <w:bodyDiv w:val="1"/>
      <w:marLeft w:val="0"/>
      <w:marRight w:val="0"/>
      <w:marTop w:val="0"/>
      <w:marBottom w:val="0"/>
      <w:divBdr>
        <w:top w:val="none" w:sz="0" w:space="0" w:color="auto"/>
        <w:left w:val="none" w:sz="0" w:space="0" w:color="auto"/>
        <w:bottom w:val="none" w:sz="0" w:space="0" w:color="auto"/>
        <w:right w:val="none" w:sz="0" w:space="0" w:color="auto"/>
      </w:divBdr>
    </w:div>
    <w:div w:id="6777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yst@intellego-ic.com" TargetMode="External"/><Relationship Id="rId3" Type="http://schemas.openxmlformats.org/officeDocument/2006/relationships/styles" Target="styles.xml"/><Relationship Id="rId7" Type="http://schemas.openxmlformats.org/officeDocument/2006/relationships/image" Target="cid:image001.png@01CF4A7A.D6A35E5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czim@seczim.co.zw" TargetMode="External"/><Relationship Id="rId4" Type="http://schemas.openxmlformats.org/officeDocument/2006/relationships/settings" Target="settings.xml"/><Relationship Id="rId9" Type="http://schemas.openxmlformats.org/officeDocument/2006/relationships/hyperlink" Target="http://www.seczim.c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41CA3-53E4-499D-9C5C-9142287F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Nyakunu</dc:creator>
  <cp:keywords/>
  <dc:description/>
  <cp:lastModifiedBy>Anne Nyakunu</cp:lastModifiedBy>
  <cp:revision>2</cp:revision>
  <dcterms:created xsi:type="dcterms:W3CDTF">2022-03-10T10:46:00Z</dcterms:created>
  <dcterms:modified xsi:type="dcterms:W3CDTF">2022-03-10T10:46:00Z</dcterms:modified>
</cp:coreProperties>
</file>